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1E47" w14:textId="77777777" w:rsidR="00D3185B" w:rsidRPr="00D3185B" w:rsidRDefault="00D3185B" w:rsidP="00D3185B">
      <w:pPr>
        <w:widowControl w:val="0"/>
        <w:autoSpaceDE w:val="0"/>
        <w:autoSpaceDN w:val="0"/>
        <w:adjustRightInd w:val="0"/>
        <w:spacing w:after="0" w:line="240" w:lineRule="auto"/>
        <w:jc w:val="center"/>
        <w:outlineLvl w:val="0"/>
        <w:rPr>
          <w:rFonts w:eastAsia="Times New Roman" w:cs="Calibri"/>
          <w:color w:val="0070C0"/>
          <w:kern w:val="24"/>
          <w:sz w:val="24"/>
          <w:szCs w:val="24"/>
          <w:lang w:val="es-ES" w:eastAsia="es-ES"/>
        </w:rPr>
      </w:pPr>
      <w:r w:rsidRPr="00D3185B">
        <w:rPr>
          <w:rFonts w:eastAsia="Calibri" w:cs="Times New Roman"/>
          <w:noProof/>
          <w:sz w:val="24"/>
          <w:szCs w:val="24"/>
          <w:lang w:val="es-ES"/>
        </w:rPr>
        <w:drawing>
          <wp:inline distT="0" distB="0" distL="0" distR="0" wp14:anchorId="3F75B212" wp14:editId="213D2AFE">
            <wp:extent cx="478499" cy="337820"/>
            <wp:effectExtent l="0" t="0" r="0" b="5080"/>
            <wp:docPr id="4" name="Imagen 3">
              <a:extLst xmlns:a="http://schemas.openxmlformats.org/drawingml/2006/main">
                <a:ext uri="{FF2B5EF4-FFF2-40B4-BE49-F238E27FC236}">
                  <a16:creationId xmlns:a16="http://schemas.microsoft.com/office/drawing/2014/main" id="{F14D3446-22C5-4107-B817-2B9C512EB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14D3446-22C5-4107-B817-2B9C512EB1A6}"/>
                        </a:ext>
                      </a:extLst>
                    </pic:cNvPr>
                    <pic:cNvPicPr>
                      <a:picLocks noChangeAspect="1"/>
                    </pic:cNvPicPr>
                  </pic:nvPicPr>
                  <pic:blipFill>
                    <a:blip r:embed="rId6"/>
                    <a:stretch>
                      <a:fillRect/>
                    </a:stretch>
                  </pic:blipFill>
                  <pic:spPr>
                    <a:xfrm>
                      <a:off x="0" y="0"/>
                      <a:ext cx="508593" cy="359066"/>
                    </a:xfrm>
                    <a:prstGeom prst="rect">
                      <a:avLst/>
                    </a:prstGeom>
                  </pic:spPr>
                </pic:pic>
              </a:graphicData>
            </a:graphic>
          </wp:inline>
        </w:drawing>
      </w:r>
    </w:p>
    <w:p w14:paraId="1F024942" w14:textId="77777777" w:rsidR="00D3185B" w:rsidRPr="00D3185B" w:rsidRDefault="00D3185B" w:rsidP="00D3185B">
      <w:pPr>
        <w:widowControl w:val="0"/>
        <w:autoSpaceDE w:val="0"/>
        <w:autoSpaceDN w:val="0"/>
        <w:adjustRightInd w:val="0"/>
        <w:spacing w:after="0" w:line="240" w:lineRule="auto"/>
        <w:jc w:val="center"/>
        <w:outlineLvl w:val="0"/>
        <w:rPr>
          <w:rFonts w:eastAsia="Times New Roman" w:cs="Calibri"/>
          <w:color w:val="0070C0"/>
          <w:kern w:val="24"/>
          <w:sz w:val="24"/>
          <w:szCs w:val="24"/>
          <w:lang w:val="es-ES" w:eastAsia="es-ES"/>
        </w:rPr>
      </w:pPr>
      <w:r w:rsidRPr="00D3185B">
        <w:rPr>
          <w:rFonts w:eastAsia="Times New Roman" w:cs="Calibri"/>
          <w:color w:val="0070C0"/>
          <w:kern w:val="24"/>
          <w:sz w:val="24"/>
          <w:szCs w:val="24"/>
          <w:lang w:val="es-ES" w:eastAsia="es-ES"/>
        </w:rPr>
        <w:t>Aula SEIS</w:t>
      </w:r>
    </w:p>
    <w:p w14:paraId="35C13D0C" w14:textId="77777777" w:rsidR="00D3185B" w:rsidRPr="00D3185B" w:rsidRDefault="00D3185B" w:rsidP="00D3185B">
      <w:pPr>
        <w:widowControl w:val="0"/>
        <w:autoSpaceDE w:val="0"/>
        <w:autoSpaceDN w:val="0"/>
        <w:adjustRightInd w:val="0"/>
        <w:spacing w:after="0" w:line="240" w:lineRule="auto"/>
        <w:jc w:val="center"/>
        <w:outlineLvl w:val="0"/>
        <w:rPr>
          <w:rFonts w:eastAsia="Times New Roman" w:cs="Calibri"/>
          <w:color w:val="0070C0"/>
          <w:kern w:val="24"/>
          <w:sz w:val="24"/>
          <w:szCs w:val="24"/>
          <w:lang w:val="es-ES" w:eastAsia="es-ES"/>
        </w:rPr>
      </w:pPr>
    </w:p>
    <w:p w14:paraId="41105242" w14:textId="77777777" w:rsidR="00D3185B" w:rsidRDefault="00D3185B" w:rsidP="00D3185B">
      <w:pPr>
        <w:spacing w:after="0" w:line="259" w:lineRule="auto"/>
        <w:jc w:val="center"/>
        <w:outlineLvl w:val="1"/>
        <w:rPr>
          <w:rFonts w:ascii="Calibri Light" w:eastAsia="Times New Roman" w:hAnsi="Calibri Light" w:cs="Times New Roman"/>
          <w:b/>
          <w:bCs/>
          <w:kern w:val="28"/>
          <w:sz w:val="32"/>
          <w:szCs w:val="32"/>
          <w:lang w:val="es-ES" w:eastAsia="es-ES"/>
        </w:rPr>
      </w:pPr>
      <w:r w:rsidRPr="00D3185B">
        <w:rPr>
          <w:rFonts w:ascii="Calibri Light" w:eastAsia="Times New Roman" w:hAnsi="Calibri Light" w:cs="Times New Roman"/>
          <w:b/>
          <w:bCs/>
          <w:kern w:val="28"/>
          <w:sz w:val="32"/>
          <w:szCs w:val="32"/>
          <w:lang w:val="es-ES" w:eastAsia="es-ES"/>
        </w:rPr>
        <w:t>Salud Digital y Medicina de Familia: más allá del espacio físic</w:t>
      </w:r>
      <w:r>
        <w:rPr>
          <w:rFonts w:ascii="Calibri Light" w:eastAsia="Times New Roman" w:hAnsi="Calibri Light" w:cs="Times New Roman"/>
          <w:b/>
          <w:bCs/>
          <w:kern w:val="28"/>
          <w:sz w:val="32"/>
          <w:szCs w:val="32"/>
          <w:lang w:val="es-ES" w:eastAsia="es-ES"/>
        </w:rPr>
        <w:t>o</w:t>
      </w:r>
    </w:p>
    <w:p w14:paraId="31BD094A" w14:textId="77777777" w:rsidR="00D3185B" w:rsidRDefault="00D3185B" w:rsidP="00D3185B">
      <w:pPr>
        <w:spacing w:after="0" w:line="259" w:lineRule="auto"/>
        <w:jc w:val="both"/>
        <w:outlineLvl w:val="1"/>
        <w:rPr>
          <w:rFonts w:asciiTheme="majorHAnsi" w:hAnsiTheme="majorHAnsi" w:cstheme="majorHAnsi"/>
          <w:sz w:val="20"/>
          <w:szCs w:val="20"/>
          <w:lang w:val="es-ES"/>
        </w:rPr>
      </w:pPr>
      <w:r w:rsidRPr="00D3185B">
        <w:rPr>
          <w:rFonts w:ascii="Calibri Light" w:eastAsia="Times New Roman" w:hAnsi="Calibri Light" w:cs="Times New Roman"/>
          <w:b/>
          <w:bCs/>
          <w:kern w:val="28"/>
          <w:sz w:val="32"/>
          <w:szCs w:val="32"/>
          <w:lang w:val="es-ES" w:eastAsia="es-ES"/>
        </w:rPr>
        <w:t xml:space="preserve"> </w:t>
      </w:r>
      <w:r w:rsidRPr="00D3185B">
        <w:rPr>
          <w:rFonts w:ascii="Aptos" w:eastAsia="Aptos" w:hAnsi="Aptos" w:cs="Times New Roman"/>
          <w:kern w:val="2"/>
          <w:sz w:val="24"/>
          <w:szCs w:val="24"/>
          <w:lang w:val="es-ES"/>
          <w14:ligatures w14:val="standardContextual"/>
        </w:rPr>
        <w:t xml:space="preserve"> </w:t>
      </w:r>
      <w:r>
        <w:rPr>
          <w:rFonts w:ascii="Aptos" w:eastAsia="Aptos" w:hAnsi="Aptos" w:cs="Times New Roman"/>
          <w:kern w:val="2"/>
          <w:sz w:val="24"/>
          <w:szCs w:val="24"/>
          <w:lang w:val="es-ES"/>
          <w14:ligatures w14:val="standardContextual"/>
        </w:rPr>
        <w:t>Dr. Carlos Y. Durán Martínez</w:t>
      </w:r>
      <w:r w:rsidR="00000000" w:rsidRPr="0069038E">
        <w:rPr>
          <w:rFonts w:asciiTheme="majorHAnsi" w:hAnsiTheme="majorHAnsi" w:cstheme="majorHAnsi"/>
          <w:sz w:val="20"/>
          <w:szCs w:val="20"/>
          <w:lang w:val="es-ES"/>
        </w:rPr>
        <w:br/>
      </w:r>
      <w:r w:rsidR="00000000" w:rsidRPr="0069038E">
        <w:rPr>
          <w:rFonts w:asciiTheme="majorHAnsi" w:hAnsiTheme="majorHAnsi" w:cstheme="majorHAnsi"/>
          <w:sz w:val="20"/>
          <w:szCs w:val="20"/>
          <w:lang w:val="es-ES"/>
        </w:rPr>
        <w:br/>
        <w:t>¿Y si la verdadera esencia de la medicina de familia no estuviera en el lugar donde atendemos, sino en la forma en que acompañamos, incluso en un entorno digital? Esta pregunta invita a reflexionar sobre el papel de la salud digital en la atención primaria.</w:t>
      </w:r>
      <w:r w:rsidR="00000000" w:rsidRPr="0069038E">
        <w:rPr>
          <w:rFonts w:asciiTheme="majorHAnsi" w:hAnsiTheme="majorHAnsi" w:cstheme="majorHAnsi"/>
          <w:sz w:val="20"/>
          <w:szCs w:val="20"/>
          <w:lang w:val="es-ES"/>
        </w:rPr>
        <w:br/>
      </w:r>
      <w:r w:rsidR="00000000" w:rsidRPr="0069038E">
        <w:rPr>
          <w:rFonts w:asciiTheme="majorHAnsi" w:hAnsiTheme="majorHAnsi" w:cstheme="majorHAnsi"/>
          <w:sz w:val="20"/>
          <w:szCs w:val="20"/>
          <w:lang w:val="es-ES"/>
        </w:rPr>
        <w:br/>
        <w:t>La transformación digital está redefiniendo el ejercicio clínico en todos los niveles asistenciales. En medicina de familia, representa una oportunidad para mejorar la accesibilidad, optimizar el uso del tiempo clínico, reforzar la continuidad asistencial y apoyar la toma de decisiones. Lejos de sustituir la relación médico-paciente, las herramientas digitales pueden fortalecerla si se integran con un enfoque centrado en la persona.</w:t>
      </w:r>
      <w:r w:rsidR="00000000" w:rsidRPr="0069038E">
        <w:rPr>
          <w:rFonts w:asciiTheme="majorHAnsi" w:hAnsiTheme="majorHAnsi" w:cstheme="majorHAnsi"/>
          <w:sz w:val="20"/>
          <w:szCs w:val="20"/>
          <w:lang w:val="es-ES"/>
        </w:rPr>
        <w:br/>
      </w:r>
      <w:r w:rsidR="00000000" w:rsidRPr="0069038E">
        <w:rPr>
          <w:rFonts w:asciiTheme="majorHAnsi" w:hAnsiTheme="majorHAnsi" w:cstheme="majorHAnsi"/>
          <w:sz w:val="20"/>
          <w:szCs w:val="20"/>
          <w:lang w:val="es-ES"/>
        </w:rPr>
        <w:br/>
        <w:t>La atención primaria se enfrenta a múltiples retos: alta demanda asistencial, envejecimiento de la población, aumento de la cronicidad y necesidad de seguimiento continuo. En este contexto, la incorporación de soluciones tecnológicas permite reorganizar flujos de trabajo, mejorar la comunicación con el paciente y priorizar tareas clínicas. La salud digital ofrece respuestas eficientes y seguras.</w:t>
      </w:r>
      <w:r w:rsidR="00000000" w:rsidRPr="0069038E">
        <w:rPr>
          <w:rFonts w:asciiTheme="majorHAnsi" w:hAnsiTheme="majorHAnsi" w:cstheme="majorHAnsi"/>
          <w:sz w:val="20"/>
          <w:szCs w:val="20"/>
          <w:lang w:val="es-ES"/>
        </w:rPr>
        <w:br/>
      </w:r>
      <w:r w:rsidR="00000000" w:rsidRPr="0069038E">
        <w:rPr>
          <w:rFonts w:asciiTheme="majorHAnsi" w:hAnsiTheme="majorHAnsi" w:cstheme="majorHAnsi"/>
          <w:sz w:val="20"/>
          <w:szCs w:val="20"/>
          <w:lang w:val="es-ES"/>
        </w:rPr>
        <w:br/>
        <w:t>Entre las herramientas disponibles destacan las consultas no presenciales, los sistemas de monitorización remota de constantes, las aplicaciones móviles para el seguimiento de síntomas o adherencia, la transcripción automática mediante inteligencia artificial y las alertas clínicas integradas en la historia electrónica. Estas tecnologías permiten mejorar el seguimiento proactivo, reducir la sobrecarga administrativa y facilitar la coordinación entre niveles asistenciales.</w:t>
      </w:r>
    </w:p>
    <w:p w14:paraId="4026F6A1" w14:textId="77777777" w:rsidR="00D3185B" w:rsidRDefault="00000000" w:rsidP="00D3185B">
      <w:pPr>
        <w:spacing w:after="0" w:line="259" w:lineRule="auto"/>
        <w:jc w:val="both"/>
        <w:outlineLvl w:val="1"/>
        <w:rPr>
          <w:rFonts w:asciiTheme="majorHAnsi" w:hAnsiTheme="majorHAnsi" w:cstheme="majorHAnsi"/>
          <w:sz w:val="20"/>
          <w:szCs w:val="20"/>
          <w:lang w:val="es-ES"/>
        </w:rPr>
      </w:pPr>
      <w:r w:rsidRPr="0069038E">
        <w:rPr>
          <w:rFonts w:asciiTheme="majorHAnsi" w:hAnsiTheme="majorHAnsi" w:cstheme="majorHAnsi"/>
          <w:sz w:val="20"/>
          <w:szCs w:val="20"/>
          <w:lang w:val="es-ES"/>
        </w:rPr>
        <w:br/>
        <w:t>No obstante, para su implementación efectiva es necesario considerar aspectos clave como la formación en competencias digitales, la interoperabilidad entre sistemas, la accesibilidad para todos los perfiles de pacientes y el mantenimiento de una perspectiva ética en el uso de los datos clínicos.</w:t>
      </w:r>
    </w:p>
    <w:p w14:paraId="233D2E5B" w14:textId="77777777" w:rsidR="00D3185B" w:rsidRDefault="00000000" w:rsidP="00D3185B">
      <w:pPr>
        <w:spacing w:after="0" w:line="259" w:lineRule="auto"/>
        <w:jc w:val="both"/>
        <w:outlineLvl w:val="1"/>
        <w:rPr>
          <w:rFonts w:asciiTheme="majorHAnsi" w:hAnsiTheme="majorHAnsi" w:cstheme="majorHAnsi"/>
          <w:sz w:val="20"/>
          <w:szCs w:val="20"/>
          <w:lang w:val="es-ES"/>
        </w:rPr>
      </w:pPr>
      <w:r w:rsidRPr="0069038E">
        <w:rPr>
          <w:rFonts w:asciiTheme="majorHAnsi" w:hAnsiTheme="majorHAnsi" w:cstheme="majorHAnsi"/>
          <w:sz w:val="20"/>
          <w:szCs w:val="20"/>
          <w:lang w:val="es-ES"/>
        </w:rPr>
        <w:br/>
        <w:t xml:space="preserve">La digitalización en atención primaria no es un fin en sí mismo, sino una herramienta que, bien utilizada, puede reforzar los valores fundamentales de la medicina de familia: cercanía, </w:t>
      </w:r>
      <w:r w:rsidR="0069038E" w:rsidRPr="0069038E">
        <w:rPr>
          <w:rFonts w:asciiTheme="majorHAnsi" w:hAnsiTheme="majorHAnsi" w:cstheme="majorHAnsi"/>
          <w:sz w:val="20"/>
          <w:szCs w:val="20"/>
          <w:lang w:val="es-ES"/>
        </w:rPr>
        <w:t xml:space="preserve">accesibilidad, </w:t>
      </w:r>
      <w:r w:rsidRPr="0069038E">
        <w:rPr>
          <w:rFonts w:asciiTheme="majorHAnsi" w:hAnsiTheme="majorHAnsi" w:cstheme="majorHAnsi"/>
          <w:sz w:val="20"/>
          <w:szCs w:val="20"/>
          <w:lang w:val="es-ES"/>
        </w:rPr>
        <w:t>continuidad, integralidad y enfoque comunitario. Por ello, su adopción debe ir acompañada de una reflexión constante sobre su impacto real en la práctica clínica y en la experiencia del paciente.</w:t>
      </w:r>
    </w:p>
    <w:p w14:paraId="1D8F9617" w14:textId="7D281872" w:rsidR="00FF44DC" w:rsidRPr="0069038E" w:rsidRDefault="00000000" w:rsidP="00D3185B">
      <w:pPr>
        <w:spacing w:after="0" w:line="259" w:lineRule="auto"/>
        <w:jc w:val="both"/>
        <w:outlineLvl w:val="1"/>
        <w:rPr>
          <w:rFonts w:asciiTheme="majorHAnsi" w:hAnsiTheme="majorHAnsi" w:cstheme="majorHAnsi"/>
          <w:sz w:val="20"/>
          <w:szCs w:val="20"/>
          <w:lang w:val="es-ES"/>
        </w:rPr>
      </w:pPr>
      <w:r w:rsidRPr="0069038E">
        <w:rPr>
          <w:rFonts w:asciiTheme="majorHAnsi" w:hAnsiTheme="majorHAnsi" w:cstheme="majorHAnsi"/>
          <w:sz w:val="20"/>
          <w:szCs w:val="20"/>
          <w:lang w:val="es-ES"/>
        </w:rPr>
        <w:br/>
        <w:t>La salud digital no reemplaza el juicio clínico ni la relación interpersonal que caracteriza a nuestra especialidad. Pero sí puede facilitar el ejercicio profesional, liberar tiempo para la atención directa y ampliar las posibilidades de seguimiento personalizado. Su integración, progresiva y adaptada a las realidades locales, puede contribuir a una atención primaria más resolutiva, coordinada y orientada a las necesidades actuales.</w:t>
      </w:r>
      <w:r w:rsidRPr="0069038E">
        <w:rPr>
          <w:rFonts w:asciiTheme="majorHAnsi" w:hAnsiTheme="majorHAnsi" w:cstheme="majorHAnsi"/>
          <w:sz w:val="20"/>
          <w:szCs w:val="20"/>
          <w:lang w:val="es-ES"/>
        </w:rPr>
        <w:br/>
      </w:r>
      <w:r w:rsidRPr="0069038E">
        <w:rPr>
          <w:rFonts w:asciiTheme="majorHAnsi" w:hAnsiTheme="majorHAnsi" w:cstheme="majorHAnsi"/>
          <w:sz w:val="20"/>
          <w:szCs w:val="20"/>
          <w:lang w:val="es-ES"/>
        </w:rPr>
        <w:br/>
        <w:t xml:space="preserve">La transformación digital ya está en marcha. El reto es guiarla con criterio clínico, </w:t>
      </w:r>
      <w:r w:rsidR="0069038E" w:rsidRPr="0069038E">
        <w:rPr>
          <w:rFonts w:asciiTheme="majorHAnsi" w:hAnsiTheme="majorHAnsi" w:cstheme="majorHAnsi"/>
          <w:sz w:val="20"/>
          <w:szCs w:val="20"/>
          <w:lang w:val="es-ES"/>
        </w:rPr>
        <w:t xml:space="preserve">compromiso con la calidad asistencial y </w:t>
      </w:r>
      <w:r w:rsidRPr="0069038E">
        <w:rPr>
          <w:rFonts w:asciiTheme="majorHAnsi" w:hAnsiTheme="majorHAnsi" w:cstheme="majorHAnsi"/>
          <w:sz w:val="20"/>
          <w:szCs w:val="20"/>
          <w:lang w:val="es-ES"/>
        </w:rPr>
        <w:t>responsabilidad</w:t>
      </w:r>
      <w:r w:rsidR="0069038E" w:rsidRPr="0069038E">
        <w:rPr>
          <w:rFonts w:asciiTheme="majorHAnsi" w:hAnsiTheme="majorHAnsi" w:cstheme="majorHAnsi"/>
          <w:sz w:val="20"/>
          <w:szCs w:val="20"/>
          <w:lang w:val="es-ES"/>
        </w:rPr>
        <w:t xml:space="preserve"> ética y</w:t>
      </w:r>
      <w:r w:rsidRPr="0069038E">
        <w:rPr>
          <w:rFonts w:asciiTheme="majorHAnsi" w:hAnsiTheme="majorHAnsi" w:cstheme="majorHAnsi"/>
          <w:sz w:val="20"/>
          <w:szCs w:val="20"/>
          <w:lang w:val="es-ES"/>
        </w:rPr>
        <w:t xml:space="preserve"> profesional</w:t>
      </w:r>
      <w:r w:rsidR="0069038E" w:rsidRPr="0069038E">
        <w:rPr>
          <w:rFonts w:asciiTheme="majorHAnsi" w:hAnsiTheme="majorHAnsi" w:cstheme="majorHAnsi"/>
          <w:sz w:val="20"/>
          <w:szCs w:val="20"/>
          <w:lang w:val="es-ES"/>
        </w:rPr>
        <w:t>.</w:t>
      </w:r>
    </w:p>
    <w:sectPr w:rsidR="00FF44DC" w:rsidRPr="006903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946692680">
    <w:abstractNumId w:val="8"/>
  </w:num>
  <w:num w:numId="2" w16cid:durableId="1046562248">
    <w:abstractNumId w:val="6"/>
  </w:num>
  <w:num w:numId="3" w16cid:durableId="980036090">
    <w:abstractNumId w:val="5"/>
  </w:num>
  <w:num w:numId="4" w16cid:durableId="606889294">
    <w:abstractNumId w:val="4"/>
  </w:num>
  <w:num w:numId="5" w16cid:durableId="823158984">
    <w:abstractNumId w:val="7"/>
  </w:num>
  <w:num w:numId="6" w16cid:durableId="893196065">
    <w:abstractNumId w:val="3"/>
  </w:num>
  <w:num w:numId="7" w16cid:durableId="646054317">
    <w:abstractNumId w:val="2"/>
  </w:num>
  <w:num w:numId="8" w16cid:durableId="1027755287">
    <w:abstractNumId w:val="1"/>
  </w:num>
  <w:num w:numId="9" w16cid:durableId="143740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AC"/>
    <w:rsid w:val="00034616"/>
    <w:rsid w:val="0006063C"/>
    <w:rsid w:val="0015074B"/>
    <w:rsid w:val="0029639D"/>
    <w:rsid w:val="00326F90"/>
    <w:rsid w:val="0068313D"/>
    <w:rsid w:val="0069038E"/>
    <w:rsid w:val="00AA1D8D"/>
    <w:rsid w:val="00B47730"/>
    <w:rsid w:val="00CB0664"/>
    <w:rsid w:val="00D2506E"/>
    <w:rsid w:val="00D3185B"/>
    <w:rsid w:val="00FC693F"/>
    <w:rsid w:val="00FF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0A8A8"/>
  <w14:defaultImageDpi w14:val="300"/>
  <w15:docId w15:val="{E10408E8-C3A2-BA4F-B3AA-991EA742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 Luis Monteagudo</cp:lastModifiedBy>
  <cp:revision>3</cp:revision>
  <dcterms:created xsi:type="dcterms:W3CDTF">2025-06-27T16:30:00Z</dcterms:created>
  <dcterms:modified xsi:type="dcterms:W3CDTF">2025-06-27T16:34:00Z</dcterms:modified>
  <cp:category/>
</cp:coreProperties>
</file>